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b/>
          <w:sz w:val="36"/>
          <w:szCs w:val="36"/>
        </w:rPr>
        <mc:AlternateContent>
          <mc:Choice Requires="wps">
            <w:drawing>
              <wp:anchor distT="0" distB="0" distL="114300" distR="114300" simplePos="0" relativeHeight="251661312" behindDoc="0" locked="0" layoutInCell="1" allowOverlap="1">
                <wp:simplePos x="0" y="0"/>
                <wp:positionH relativeFrom="column">
                  <wp:posOffset>2428875</wp:posOffset>
                </wp:positionH>
                <wp:positionV relativeFrom="paragraph">
                  <wp:posOffset>-680085</wp:posOffset>
                </wp:positionV>
                <wp:extent cx="1295400" cy="609600"/>
                <wp:effectExtent l="0" t="0" r="0" b="0"/>
                <wp:wrapNone/>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95400" cy="609600"/>
                        </a:xfrm>
                        <a:prstGeom prst="rect">
                          <a:avLst/>
                        </a:prstGeom>
                        <a:solidFill>
                          <a:srgbClr val="FFFFFF"/>
                        </a:solidFill>
                        <a:ln w="9525">
                          <a:noFill/>
                          <a:miter lim="800000"/>
                        </a:ln>
                      </wps:spPr>
                      <wps:txbx>
                        <w:txbxContent>
                          <w:p>
                            <w:r>
                              <w:drawing>
                                <wp:inline distT="0" distB="0" distL="0" distR="0">
                                  <wp:extent cx="542925" cy="5429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2379" cy="542379"/>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91.25pt;margin-top:-53.55pt;height:48pt;width:102pt;z-index:251661312;mso-width-relative:page;mso-height-relative:page;" fillcolor="#FFFFFF" filled="t" stroked="f" coordsize="21600,21600" o:gfxdata="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auwQ2QAAAAwB&#10;AAAPAAAAAAAAAAEAIAAAACIAAABkcnMvZG93bnJldi54bWxQSwECFAAUAAAACACHTuJAxZZDuRoC&#10;AAAFBAAADgAAAAAAAAABACAAAAAoAQAAZHJzL2Uyb0RvYy54bWxQSwUGAAAAAAYABgBZAQAAtAUA&#10;AAAA&#10;">
                <v:fill on="t" focussize="0,0"/>
                <v:stroke on="f" miterlimit="8" joinstyle="miter"/>
                <v:imagedata o:title=""/>
                <o:lock v:ext="edit" aspectratio="f"/>
                <v:textbox>
                  <w:txbxContent>
                    <w:p>
                      <w:r>
                        <w:drawing>
                          <wp:inline distT="0" distB="0" distL="0" distR="0">
                            <wp:extent cx="542925" cy="5429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2379" cy="542379"/>
                                    </a:xfrm>
                                    <a:prstGeom prst="rect">
                                      <a:avLst/>
                                    </a:prstGeom>
                                  </pic:spPr>
                                </pic:pic>
                              </a:graphicData>
                            </a:graphic>
                          </wp:inline>
                        </w:drawing>
                      </w:r>
                    </w:p>
                  </w:txbxContent>
                </v:textbox>
              </v:shape>
            </w:pict>
          </mc:Fallback>
        </mc:AlternateContent>
      </w:r>
    </w:p>
    <w:p>
      <w:pPr>
        <w:jc w:val="center"/>
        <w:rPr>
          <w:rFonts w:hint="eastAsia"/>
          <w:b/>
          <w:sz w:val="36"/>
          <w:szCs w:val="36"/>
        </w:rPr>
      </w:pPr>
      <w:r>
        <w:rPr>
          <w:b/>
          <w:sz w:val="36"/>
          <w:szCs w:val="36"/>
        </w:rPr>
        <mc:AlternateContent>
          <mc:Choice Requires="wps">
            <w:drawing>
              <wp:anchor distT="0" distB="0" distL="114300" distR="114300" simplePos="0" relativeHeight="251659264" behindDoc="0" locked="0" layoutInCell="1" allowOverlap="1">
                <wp:simplePos x="0" y="0"/>
                <wp:positionH relativeFrom="column">
                  <wp:posOffset>2428875</wp:posOffset>
                </wp:positionH>
                <wp:positionV relativeFrom="paragraph">
                  <wp:posOffset>-1123950</wp:posOffset>
                </wp:positionV>
                <wp:extent cx="1028700" cy="923925"/>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28700" cy="923925"/>
                        </a:xfrm>
                        <a:prstGeom prst="rect">
                          <a:avLst/>
                        </a:prstGeom>
                        <a:solidFill>
                          <a:srgbClr val="FFFFFF">
                            <a:alpha val="0"/>
                          </a:srgbClr>
                        </a:solidFill>
                        <a:ln w="9525">
                          <a:noFill/>
                          <a:miter lim="800000"/>
                        </a:ln>
                      </wps:spPr>
                      <wps:txbx>
                        <w:txbxContent>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91.25pt;margin-top:-88.5pt;height:72.75pt;width:81pt;z-index:251659264;mso-width-relative:page;mso-height-relative:page;" fillcolor="#FFFFFF" filled="t" stroked="f" coordsize="21600,21600" o:gfxdata="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CUKxi2gAAAAwBAAAPAAAAAAAAAAEAIAAAACIAAABkcnMvZG93bnJldi54bWxQSwECFAAU&#10;AAAACACHTuJAxgw22igCAAAjBAAADgAAAAAAAAABACAAAAApAQAAZHJzL2Uyb0RvYy54bWxQSwUG&#10;AAAAAAYABgBZAQAAwwUAAAAA&#10;">
                <v:fill on="t" opacity="0f" focussize="0,0"/>
                <v:stroke on="f" miterlimit="8" joinstyle="miter"/>
                <v:imagedata o:title=""/>
                <o:lock v:ext="edit" aspectratio="f"/>
                <v:textbox>
                  <w:txbxContent>
                    <w:p/>
                  </w:txbxContent>
                </v:textbox>
              </v:shape>
            </w:pict>
          </mc:Fallback>
        </mc:AlternateContent>
      </w:r>
      <w:r>
        <w:rPr>
          <w:rFonts w:hint="eastAsia"/>
          <w:b/>
          <w:sz w:val="36"/>
          <w:szCs w:val="36"/>
        </w:rPr>
        <w:t>阿什兰大学</w:t>
      </w:r>
    </w:p>
    <w:p>
      <w:pPr>
        <w:jc w:val="center"/>
        <w:rPr>
          <w:rFonts w:hint="eastAsia" w:eastAsiaTheme="minorEastAsia"/>
          <w:b/>
          <w:sz w:val="36"/>
          <w:szCs w:val="36"/>
          <w:lang w:eastAsia="zh-CN"/>
        </w:rPr>
      </w:pPr>
      <w:r>
        <w:rPr>
          <w:rFonts w:hint="eastAsia"/>
          <w:b/>
          <w:sz w:val="36"/>
          <w:szCs w:val="36"/>
          <w:lang w:eastAsia="zh-CN"/>
        </w:rPr>
        <w:t>美国名校体验</w:t>
      </w:r>
      <w:r>
        <w:rPr>
          <w:rFonts w:hint="eastAsia"/>
          <w:b/>
          <w:sz w:val="36"/>
          <w:szCs w:val="36"/>
          <w:lang w:val="en-US" w:eastAsia="zh-CN"/>
        </w:rPr>
        <w:t>+东海岸名城</w:t>
      </w:r>
      <w:r>
        <w:rPr>
          <w:rFonts w:hint="eastAsia"/>
          <w:b/>
          <w:sz w:val="36"/>
          <w:szCs w:val="36"/>
          <w:lang w:eastAsia="zh-CN"/>
        </w:rPr>
        <w:t>深度游夏令营</w:t>
      </w:r>
      <w:r>
        <w:rPr>
          <w:rFonts w:hint="eastAsia"/>
          <w:b/>
          <w:sz w:val="36"/>
          <w:szCs w:val="36"/>
        </w:rPr>
        <w:t>项目</w:t>
      </w:r>
      <w:r>
        <w:rPr>
          <w:rFonts w:hint="eastAsia"/>
          <w:b/>
          <w:sz w:val="36"/>
          <w:szCs w:val="36"/>
          <w:lang w:eastAsia="zh-CN"/>
        </w:rPr>
        <w:t>介绍</w:t>
      </w:r>
    </w:p>
    <w:p>
      <w:pPr>
        <w:jc w:val="center"/>
        <w:rPr>
          <w:rFonts w:ascii="Times New Roman" w:hAnsi="Times New Roman" w:cs="Times New Roman"/>
          <w:b/>
          <w:sz w:val="28"/>
          <w:szCs w:val="28"/>
        </w:rPr>
      </w:pPr>
      <w:r>
        <w:rPr>
          <w:rFonts w:ascii="Times New Roman" w:hAnsi="Times New Roman" w:cs="Times New Roman"/>
          <w:b/>
          <w:sz w:val="28"/>
          <w:szCs w:val="28"/>
        </w:rPr>
        <w:t>Ashland University International Training Program</w:t>
      </w:r>
    </w:p>
    <w:p>
      <w:pPr>
        <w:jc w:val="center"/>
        <w:rPr>
          <w:rFonts w:ascii="Times New Roman" w:hAnsi="Times New Roman" w:cs="Times New Roman"/>
          <w:b/>
          <w:sz w:val="15"/>
          <w:szCs w:val="15"/>
        </w:rPr>
      </w:pPr>
    </w:p>
    <w:p>
      <w:pPr>
        <w:jc w:val="center"/>
        <w:rPr>
          <w:rFonts w:ascii="Times New Roman" w:hAnsi="Times New Roman" w:cs="Times New Roman"/>
          <w:b/>
          <w:sz w:val="28"/>
          <w:szCs w:val="28"/>
        </w:rPr>
      </w:pPr>
      <w:r>
        <w:rPr>
          <w:b/>
          <w:sz w:val="32"/>
          <w:szCs w:val="32"/>
        </w:rPr>
        <w:drawing>
          <wp:inline distT="0" distB="0" distL="0" distR="0">
            <wp:extent cx="5151755" cy="2838450"/>
            <wp:effectExtent l="0" t="0" r="10795" b="0"/>
            <wp:docPr id="16" name="图片 16" descr="F:\美国留学\锦鸿\201803学校照片\册子图片\20140310023727603.jpg2014031002372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F:\美国留学\锦鸿\201803学校照片\册子图片\20140310023727603.jpg20140310023727603"/>
                    <pic:cNvPicPr>
                      <a:picLocks noChangeAspect="1" noChangeArrowheads="1"/>
                    </pic:cNvPicPr>
                  </pic:nvPicPr>
                  <pic:blipFill>
                    <a:blip r:embed="rId5"/>
                    <a:srcRect/>
                    <a:stretch>
                      <a:fillRect/>
                    </a:stretch>
                  </pic:blipFill>
                  <pic:spPr>
                    <a:xfrm>
                      <a:off x="0" y="0"/>
                      <a:ext cx="5151755" cy="2838450"/>
                    </a:xfrm>
                    <a:prstGeom prst="rect">
                      <a:avLst/>
                    </a:prstGeom>
                    <a:noFill/>
                    <a:ln>
                      <a:noFill/>
                    </a:ln>
                  </pic:spPr>
                </pic:pic>
              </a:graphicData>
            </a:graphic>
          </wp:inline>
        </w:drawing>
      </w:r>
    </w:p>
    <w:p>
      <w:pPr>
        <w:jc w:val="both"/>
        <w:rPr>
          <w:rFonts w:hint="eastAsia"/>
          <w:b/>
          <w:sz w:val="32"/>
          <w:szCs w:val="32"/>
          <w:lang w:val="en-US" w:eastAsia="zh-CN"/>
        </w:rPr>
      </w:pPr>
    </w:p>
    <w:p>
      <w:pPr>
        <w:jc w:val="both"/>
        <w:rPr>
          <w:b/>
          <w:color w:val="7030A0"/>
          <w:sz w:val="32"/>
          <w:szCs w:val="32"/>
        </w:rPr>
      </w:pPr>
      <w:r>
        <w:rPr>
          <w:rFonts w:hint="eastAsia"/>
          <w:b/>
          <w:color w:val="7030A0"/>
          <w:sz w:val="32"/>
          <w:szCs w:val="32"/>
          <w:lang w:val="en-US" w:eastAsia="zh-CN"/>
        </w:rPr>
        <w:t>学校概况</w:t>
      </w:r>
    </w:p>
    <w:p>
      <w:pPr>
        <w:spacing w:line="56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lang w:val="en-US" w:eastAsia="zh-CN"/>
        </w:rPr>
        <w:t>阿什兰大学位于美国俄亥俄州阿什兰市---美国中西部一个宁静安逸的小城，这里交通十分便利，距离俄亥俄州首府哥伦布市以及中西部第二大城市克利夫兰均一个小时车程。美国阿什兰大学成立于1878年，是位于美国俄亥俄州的一所著名私立综合性大学。阿什兰大学由主校区和若干在俄亥俄州中部和北部的分校区组成， 提供学士、硕士、博士三种学位类型。学校拥有一批传统文科、理科、商科、教育等优势学科，各个学科均衡发展，各具特色。阿什兰大学是俄亥俄州最顶尖的三所私立大学之一，80%以上的教师拥有博士学位，凭借雄厚的师资力量及优良的教育品质，历年来阿什兰大学在USNEWS综合排名在全美近4000所大学中均保持在前200名，并且同时连续九年蝉联普林斯顿评论“中西部最好大学”称号。</w:t>
      </w:r>
    </w:p>
    <w:p>
      <w:pPr>
        <w:spacing w:line="56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lang w:val="en-US" w:eastAsia="zh-CN"/>
        </w:rPr>
        <w:t>阿什兰大学秉持140多年的优秀教育传统，注重学生的全面发展，为来自全球60多个国家、不同文化背景的学生提供数以百计的学术课程、辅助课程和几乎涵盖所在项目的体育活动以及丰富多彩的校园活动。</w:t>
      </w:r>
    </w:p>
    <w:p>
      <w:pPr>
        <w:spacing w:line="56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lang w:val="en-US" w:eastAsia="zh-CN"/>
        </w:rPr>
        <w:t>阿什兰大学不仅有较高教学质量和师资水平，同时也为学生提供优质舒适的生活条件，学校周边环境优美宁静，教学、生活、运动设施一应俱全，住宿环境温馨舒适，学生餐厅连续多年被授予“全美高校膳食最佳”称号。阿什兰所在地阿什兰市交通便利，文化底蕴深厚，是美国传统文化保留最好的地区之一，白人比例为85%，阿什兰大学白人学生比例为95%，在全美最安全校园评比第30位，被誉为“全美最安全和友好大学”。</w:t>
      </w:r>
    </w:p>
    <w:p>
      <w:pPr>
        <w:spacing w:line="360" w:lineRule="auto"/>
        <w:rPr>
          <w:rFonts w:hint="eastAsia" w:cs="Arial" w:asciiTheme="minorEastAsia" w:hAnsiTheme="minorEastAsia"/>
          <w:color w:val="000000"/>
          <w:sz w:val="28"/>
          <w:szCs w:val="28"/>
          <w:lang w:val="en-US" w:eastAsia="zh-CN"/>
        </w:rPr>
      </w:pPr>
    </w:p>
    <w:p>
      <w:pPr>
        <w:jc w:val="left"/>
        <w:rPr>
          <w:rFonts w:hint="eastAsia"/>
          <w:b/>
          <w:color w:val="7030A0"/>
          <w:sz w:val="32"/>
          <w:szCs w:val="32"/>
          <w:lang w:val="en-US" w:eastAsia="zh-CN"/>
        </w:rPr>
      </w:pPr>
      <w:r>
        <w:rPr>
          <w:rFonts w:hint="eastAsia"/>
          <w:b/>
          <w:color w:val="7030A0"/>
          <w:sz w:val="32"/>
          <w:szCs w:val="32"/>
          <w:lang w:val="en-US" w:eastAsia="zh-CN"/>
        </w:rPr>
        <w:t>综合实力</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美国4000所大学中USNEWS综合排名前200位；</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连续9年普林斯顿排名中西部最好大学；</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2019年USNEWS最佳大学区域排行榜第2位；</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全美大学生学术水平测试排名TOP前15%；</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全美最安全校园评比第30位，被誉为“全美最安全和友好大学”；</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权威机构认证全美性价比最高15所大学之一；</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酒店管理专业全美排名第13位；</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国际MBA专业全美排名第41位；</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80%以上教师拥有博士学位；</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商学院经国际精英商学院协会(AACSB)商业和会计双认证；</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会计专业获得美国商学院和项目认证委员会（ACBSP）认证；</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教育学获美国教师教育委员会美国最大教育学项目认证；</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连续多年获全美高校最佳膳食高校称号。</w:t>
      </w:r>
    </w:p>
    <w:p>
      <w:pPr>
        <w:spacing w:line="360" w:lineRule="auto"/>
        <w:ind w:firstLine="560" w:firstLineChars="200"/>
        <w:rPr>
          <w:rFonts w:hint="eastAsia" w:ascii="仿宋" w:hAnsi="仿宋" w:eastAsia="仿宋" w:cs="仿宋"/>
          <w:color w:val="000000"/>
          <w:sz w:val="28"/>
          <w:szCs w:val="28"/>
          <w:lang w:val="en-US" w:eastAsia="zh-CN"/>
        </w:rPr>
      </w:pPr>
    </w:p>
    <w:p>
      <w:pPr>
        <w:jc w:val="left"/>
        <w:rPr>
          <w:rFonts w:cs="Arial" w:asciiTheme="minorEastAsia" w:hAnsiTheme="minorEastAsia"/>
          <w:color w:val="7030A0"/>
          <w:szCs w:val="21"/>
        </w:rPr>
      </w:pPr>
      <w:r>
        <w:rPr>
          <w:rFonts w:hint="eastAsia"/>
          <w:b/>
          <w:color w:val="7030A0"/>
          <w:sz w:val="32"/>
          <w:szCs w:val="32"/>
        </w:rPr>
        <w:t>项目介绍</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该项目主要针对国际学生而设计。</w:t>
      </w:r>
      <w:r>
        <w:rPr>
          <w:rFonts w:hint="eastAsia" w:ascii="仿宋_GB2312" w:eastAsia="仿宋_GB2312"/>
          <w:color w:val="auto"/>
          <w:sz w:val="32"/>
          <w:lang w:val="en-US" w:eastAsia="zh-CN"/>
        </w:rPr>
        <w:t>阿什兰大学具有全国公认的英语专业强化培训课程（ACCESS)，项目内的英语</w:t>
      </w:r>
      <w:r>
        <w:rPr>
          <w:rFonts w:hint="eastAsia" w:ascii="仿宋" w:hAnsi="仿宋" w:eastAsia="仿宋" w:cs="仿宋"/>
          <w:sz w:val="32"/>
          <w:szCs w:val="32"/>
          <w:lang w:val="en-US" w:eastAsia="zh-CN"/>
        </w:rPr>
        <w:t>培训课程中融入了传统美国文化活动和实践课程，包括安排学生到世界知名企业、世界一流名校--哈佛、麻省理工、普林斯顿、俄亥俄州立大学参观考察，到美国东海岸沿线华盛顿、纽约、费城、波士顿等名城游览，同时还带领学生深入当地少数族裔部落、国家公园、博物馆、购物中心等场所开展文化体验活动等。</w:t>
      </w:r>
    </w:p>
    <w:p>
      <w:pPr>
        <w:jc w:val="left"/>
        <w:rPr>
          <w:rFonts w:hint="eastAsia"/>
          <w:b/>
          <w:color w:val="7030A0"/>
          <w:sz w:val="32"/>
          <w:szCs w:val="32"/>
          <w:lang w:val="en-US" w:eastAsia="zh-CN"/>
        </w:rPr>
      </w:pPr>
    </w:p>
    <w:p>
      <w:pPr>
        <w:jc w:val="left"/>
        <w:rPr>
          <w:rFonts w:hint="eastAsia"/>
          <w:b/>
          <w:color w:val="7030A0"/>
          <w:sz w:val="32"/>
          <w:szCs w:val="32"/>
          <w:lang w:val="en-US" w:eastAsia="zh-CN"/>
        </w:rPr>
      </w:pPr>
      <w:r>
        <w:rPr>
          <w:rFonts w:hint="eastAsia"/>
          <w:b/>
          <w:color w:val="7030A0"/>
          <w:sz w:val="32"/>
          <w:szCs w:val="32"/>
          <w:lang w:val="en-US" w:eastAsia="zh-CN"/>
        </w:rPr>
        <w:t>项目目标</w:t>
      </w:r>
    </w:p>
    <w:p>
      <w:pPr>
        <w:jc w:val="both"/>
        <w:rPr>
          <w:rFonts w:hint="eastAsia" w:ascii="仿宋_GB2312" w:eastAsia="仿宋_GB2312"/>
          <w:color w:val="auto"/>
          <w:sz w:val="32"/>
          <w:lang w:val="en-US" w:eastAsia="zh-CN"/>
        </w:rPr>
      </w:pPr>
      <w:r>
        <w:rPr>
          <w:rFonts w:hint="eastAsia" w:ascii="仿宋" w:hAnsi="仿宋" w:eastAsia="仿宋" w:cs="仿宋"/>
          <w:b/>
          <w:bCs/>
          <w:sz w:val="32"/>
          <w:szCs w:val="32"/>
          <w:lang w:val="en-US" w:eastAsia="zh-CN"/>
        </w:rPr>
        <w:t>1.入读美国知名大学,拓展“国际校友圈”：</w:t>
      </w:r>
      <w:r>
        <w:rPr>
          <w:rFonts w:hint="eastAsia" w:ascii="仿宋" w:hAnsi="仿宋" w:eastAsia="仿宋" w:cs="仿宋"/>
          <w:sz w:val="32"/>
          <w:szCs w:val="32"/>
          <w:lang w:val="en-US" w:eastAsia="zh-CN"/>
        </w:rPr>
        <w:t>阿什兰大学位于美国人称之为美国心脏（Heart of America)的俄亥俄州,是一所私立综合性大学，</w:t>
      </w:r>
      <w:r>
        <w:rPr>
          <w:rFonts w:hint="eastAsia" w:ascii="仿宋_GB2312" w:eastAsia="仿宋_GB2312"/>
          <w:color w:val="auto"/>
          <w:sz w:val="32"/>
          <w:lang w:val="en-US" w:eastAsia="zh-CN"/>
        </w:rPr>
        <w:t>拥有140年的优秀教育传统，校园内有来自60多个国家、不同民族不同文化背景的学生，</w:t>
      </w:r>
      <w:r>
        <w:rPr>
          <w:rFonts w:hint="eastAsia" w:ascii="仿宋" w:hAnsi="仿宋" w:eastAsia="仿宋" w:cs="仿宋"/>
          <w:sz w:val="32"/>
          <w:szCs w:val="32"/>
          <w:lang w:val="en-US" w:eastAsia="zh-CN"/>
        </w:rPr>
        <w:t>学生在阿什兰大学校内学习，在轻松愉快的氛围中经历</w:t>
      </w:r>
      <w:r>
        <w:rPr>
          <w:rFonts w:hint="eastAsia" w:ascii="仿宋_GB2312" w:eastAsia="仿宋_GB2312"/>
          <w:color w:val="auto"/>
          <w:sz w:val="32"/>
          <w:lang w:val="en-US" w:eastAsia="zh-CN"/>
        </w:rPr>
        <w:t>多元校园文化体验，拓展国际校友圈。</w:t>
      </w:r>
    </w:p>
    <w:p>
      <w:pPr>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2.零距离体验美国大学的校园生活:</w:t>
      </w:r>
      <w:r>
        <w:rPr>
          <w:rFonts w:hint="eastAsia" w:ascii="仿宋" w:hAnsi="仿宋" w:eastAsia="仿宋" w:cs="仿宋"/>
          <w:sz w:val="32"/>
          <w:szCs w:val="32"/>
          <w:lang w:val="en-US" w:eastAsia="zh-CN"/>
        </w:rPr>
        <w:t xml:space="preserve">入住安全舒适、设施齐备的阿什兰大学校内宿舍，体验美国校园环境、全天候浸泡式体验美式教学以及“零口音”地区标准美式发音的魅力，深度了解美国历史文化，快速提高英文听说读写能力，真正做一回美国学生。此外，连续多年被授予“全美高校膳食最佳”称号的阿什兰大学设有西餐厅、素食餐厅、东南亚餐厅、粤菜餐厅、古巴餐厅、穆斯林餐厅、咖啡厅等，将为学生提供花样繁多的各种美味。 </w:t>
      </w:r>
    </w:p>
    <w:p>
      <w:pPr>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3.参观世界一流名校及美国著名企业:</w:t>
      </w:r>
      <w:r>
        <w:rPr>
          <w:rFonts w:hint="eastAsia" w:ascii="仿宋" w:hAnsi="仿宋" w:eastAsia="仿宋" w:cs="仿宋"/>
          <w:sz w:val="32"/>
          <w:szCs w:val="32"/>
          <w:lang w:val="en-US" w:eastAsia="zh-CN"/>
        </w:rPr>
        <w:t xml:space="preserve"> 深入探访</w:t>
      </w:r>
      <w:r>
        <w:rPr>
          <w:rFonts w:hint="eastAsia" w:ascii="仿宋" w:hAnsi="仿宋" w:eastAsia="仿宋" w:cs="仿宋"/>
          <w:color w:val="FF0000"/>
          <w:sz w:val="32"/>
          <w:szCs w:val="32"/>
          <w:lang w:val="en-US" w:eastAsia="zh-CN"/>
        </w:rPr>
        <w:t>哈佛、麻省理工、普林斯顿、俄亥俄州立等4所世界一流大学</w:t>
      </w:r>
      <w:r>
        <w:rPr>
          <w:rFonts w:hint="eastAsia" w:ascii="仿宋" w:hAnsi="仿宋" w:eastAsia="仿宋" w:cs="仿宋"/>
          <w:sz w:val="32"/>
          <w:szCs w:val="32"/>
          <w:lang w:val="en-US" w:eastAsia="zh-CN"/>
        </w:rPr>
        <w:t>，近距离领略顶尖名校风采，参观美国百年名企Jerome Monroe Smucker公司, 学生深度参与实践，鼓励学生积极思考，挖掘兴趣领域。</w:t>
      </w:r>
    </w:p>
    <w:p>
      <w:pPr>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4. 体验美国传统文化: </w:t>
      </w:r>
      <w:r>
        <w:rPr>
          <w:rFonts w:hint="eastAsia" w:ascii="仿宋" w:hAnsi="仿宋" w:eastAsia="仿宋" w:cs="仿宋"/>
          <w:sz w:val="32"/>
          <w:szCs w:val="32"/>
          <w:lang w:val="en-US" w:eastAsia="zh-CN"/>
        </w:rPr>
        <w:t>深入世界上拒绝现代文明，仍然处于农耕文化的阿米什部族，了解他们独特的文化和风俗，体验美式</w:t>
      </w:r>
      <w:r>
        <w:rPr>
          <w:rFonts w:hint="eastAsia" w:ascii="仿宋" w:hAnsi="仿宋" w:eastAsia="仿宋" w:cs="仿宋"/>
          <w:color w:val="FF0000"/>
          <w:sz w:val="32"/>
          <w:szCs w:val="32"/>
          <w:lang w:val="en-US" w:eastAsia="zh-CN"/>
        </w:rPr>
        <w:t>乡村文化游</w:t>
      </w:r>
      <w:r>
        <w:rPr>
          <w:rFonts w:hint="eastAsia" w:ascii="仿宋" w:hAnsi="仿宋" w:eastAsia="仿宋" w:cs="仿宋"/>
          <w:sz w:val="32"/>
          <w:szCs w:val="32"/>
          <w:lang w:val="en-US" w:eastAsia="zh-CN"/>
        </w:rPr>
        <w:t>，开展蓝莓采摘、户外烧烤等活动，前往当地美式咖啡店等感受美国传统民俗和文化。</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5.深度探访美国名城：</w:t>
      </w:r>
      <w:r>
        <w:rPr>
          <w:rFonts w:hint="eastAsia" w:ascii="仿宋" w:hAnsi="仿宋" w:eastAsia="仿宋" w:cs="仿宋"/>
          <w:sz w:val="32"/>
          <w:szCs w:val="32"/>
          <w:lang w:val="en-US" w:eastAsia="zh-CN"/>
        </w:rPr>
        <w:t>游览</w:t>
      </w:r>
      <w:r>
        <w:rPr>
          <w:rFonts w:hint="eastAsia" w:ascii="仿宋" w:hAnsi="仿宋" w:eastAsia="仿宋" w:cs="仿宋"/>
          <w:color w:val="FF0000"/>
          <w:sz w:val="32"/>
          <w:szCs w:val="32"/>
          <w:lang w:val="en-US" w:eastAsia="zh-CN"/>
        </w:rPr>
        <w:t>华盛顿、纽约、费城、波士顿等名城</w:t>
      </w:r>
      <w:r>
        <w:rPr>
          <w:rFonts w:hint="eastAsia" w:ascii="仿宋" w:hAnsi="仿宋" w:eastAsia="仿宋" w:cs="仿宋"/>
          <w:sz w:val="32"/>
          <w:szCs w:val="32"/>
          <w:lang w:val="en-US" w:eastAsia="zh-CN"/>
        </w:rPr>
        <w:t>，前往白宫、自由女神、国会山庄、世贸遗址、联合国总部大厦、华尔街、越战纪念墙、第五大道等地标性景点游览，参观杰佛逊纪念堂、艺术博物馆、太空博物馆、富兰克林博物馆等。</w:t>
      </w: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黑体" w:hAnsi="黑体" w:eastAsia="黑体" w:cs="黑体"/>
          <w:sz w:val="32"/>
          <w:szCs w:val="32"/>
          <w:lang w:val="en-US" w:eastAsia="zh-CN"/>
        </w:rPr>
      </w:pPr>
      <w:r>
        <w:rPr>
          <w:rFonts w:hint="eastAsia"/>
          <w:b/>
          <w:color w:val="7030A0"/>
          <w:sz w:val="32"/>
          <w:szCs w:val="32"/>
          <w:lang w:val="en-US" w:eastAsia="zh-CN"/>
        </w:rPr>
        <w:t>主要课程</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第一周    </w:t>
      </w:r>
      <w:r>
        <w:rPr>
          <w:rFonts w:hint="eastAsia" w:ascii="仿宋" w:hAnsi="仿宋" w:eastAsia="仿宋" w:cs="仿宋"/>
          <w:sz w:val="32"/>
          <w:szCs w:val="32"/>
          <w:lang w:val="en-US" w:eastAsia="zh-CN"/>
        </w:rPr>
        <w:t xml:space="preserve"> 上午    标准美式英语听&amp;说、美国历史&amp;文化</w:t>
      </w:r>
    </w:p>
    <w:p>
      <w:pPr>
        <w:numPr>
          <w:ilvl w:val="0"/>
          <w:numId w:val="0"/>
        </w:numPr>
        <w:ind w:left="3200" w:hanging="3200" w:hangingChars="10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下午    商业论坛、参观访问世界知名企业、</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户外游戏运动</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晚上    风俗文化体验、英语沙龙、晚会</w:t>
      </w:r>
    </w:p>
    <w:p>
      <w:pPr>
        <w:numPr>
          <w:ilvl w:val="0"/>
          <w:numId w:val="0"/>
        </w:numPr>
        <w:jc w:val="both"/>
        <w:rPr>
          <w:rFonts w:hint="eastAsia" w:ascii="黑体" w:hAnsi="黑体" w:eastAsia="黑体" w:cs="黑体"/>
          <w:sz w:val="32"/>
          <w:szCs w:val="32"/>
          <w:lang w:val="en-US" w:eastAsia="zh-CN"/>
        </w:rPr>
      </w:pPr>
      <w:r>
        <w:rPr>
          <w:rFonts w:hint="eastAsia" w:ascii="仿宋" w:hAnsi="仿宋" w:eastAsia="仿宋" w:cs="仿宋"/>
          <w:b/>
          <w:bCs/>
          <w:sz w:val="32"/>
          <w:szCs w:val="32"/>
          <w:lang w:val="en-US" w:eastAsia="zh-CN"/>
        </w:rPr>
        <w:t>第二周</w:t>
      </w:r>
      <w:r>
        <w:rPr>
          <w:rFonts w:hint="eastAsia" w:ascii="仿宋" w:hAnsi="仿宋" w:eastAsia="仿宋" w:cs="仿宋"/>
          <w:sz w:val="32"/>
          <w:szCs w:val="32"/>
          <w:lang w:val="en-US" w:eastAsia="zh-CN"/>
        </w:rPr>
        <w:t xml:space="preserve">     东海岸名城深度游（详见行程安排表）</w:t>
      </w:r>
    </w:p>
    <w:p>
      <w:pPr>
        <w:numPr>
          <w:ilvl w:val="0"/>
          <w:numId w:val="0"/>
        </w:numPr>
        <w:jc w:val="both"/>
        <w:rPr>
          <w:rFonts w:hint="eastAsia"/>
          <w:b/>
          <w:color w:val="7030A0"/>
          <w:sz w:val="32"/>
          <w:szCs w:val="32"/>
          <w:lang w:val="en-US" w:eastAsia="zh-CN"/>
        </w:rPr>
      </w:pPr>
    </w:p>
    <w:p>
      <w:pPr>
        <w:numPr>
          <w:ilvl w:val="0"/>
          <w:numId w:val="0"/>
        </w:numPr>
        <w:jc w:val="both"/>
        <w:rPr>
          <w:rFonts w:hint="eastAsia" w:ascii="仿宋" w:hAnsi="仿宋" w:eastAsia="仿宋" w:cs="仿宋"/>
          <w:sz w:val="32"/>
          <w:szCs w:val="32"/>
          <w:lang w:val="en-US" w:eastAsia="zh-CN"/>
        </w:rPr>
      </w:pPr>
      <w:r>
        <w:rPr>
          <w:rFonts w:hint="eastAsia"/>
          <w:b/>
          <w:color w:val="7030A0"/>
          <w:sz w:val="32"/>
          <w:szCs w:val="32"/>
          <w:lang w:val="en-US" w:eastAsia="zh-CN"/>
        </w:rPr>
        <w:t xml:space="preserve">项目费用 </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1、美国境内地接价格：$ 3150 /人（两周行程）；</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2、费用含：美国全境地接价格（包括：学费、食宿、当地交通、接送机及活动费）</w:t>
      </w:r>
    </w:p>
    <w:p>
      <w:pPr>
        <w:numPr>
          <w:ilvl w:val="0"/>
          <w:numId w:val="0"/>
        </w:numPr>
        <w:jc w:val="both"/>
        <w:rPr>
          <w:rFonts w:hint="eastAsia"/>
          <w:b/>
          <w:color w:val="7030A0"/>
          <w:sz w:val="32"/>
          <w:szCs w:val="32"/>
          <w:lang w:val="en-US" w:eastAsia="zh-CN"/>
        </w:rPr>
      </w:pPr>
      <w:r>
        <w:rPr>
          <w:rFonts w:hint="eastAsia" w:ascii="仿宋" w:hAnsi="仿宋" w:eastAsia="仿宋" w:cs="仿宋"/>
          <w:sz w:val="32"/>
          <w:szCs w:val="32"/>
          <w:lang w:val="en-US" w:eastAsia="zh-CN"/>
        </w:rPr>
        <w:t>费用不包含：往返国际机票、签证费 、护照费用、签证面试产生的交通食宿费用、学生从各地到出发地的交通食宿费用、超重行李托运费、保险费等（要求所有学生应在国内购买旅游保险）。</w:t>
      </w:r>
    </w:p>
    <w:p>
      <w:pPr>
        <w:numPr>
          <w:ilvl w:val="0"/>
          <w:numId w:val="0"/>
        </w:numPr>
        <w:jc w:val="both"/>
        <w:rPr>
          <w:rFonts w:hint="eastAsia"/>
          <w:b/>
          <w:color w:val="7030A0"/>
          <w:sz w:val="32"/>
          <w:szCs w:val="32"/>
          <w:lang w:val="en-US" w:eastAsia="zh-CN"/>
        </w:rPr>
      </w:pPr>
    </w:p>
    <w:p>
      <w:pPr>
        <w:numPr>
          <w:ilvl w:val="0"/>
          <w:numId w:val="0"/>
        </w:numPr>
        <w:jc w:val="both"/>
        <w:rPr>
          <w:rFonts w:hint="eastAsia" w:ascii="仿宋" w:hAnsi="仿宋" w:eastAsia="仿宋" w:cs="仿宋"/>
          <w:sz w:val="32"/>
          <w:szCs w:val="32"/>
          <w:lang w:val="en-US" w:eastAsia="zh-CN"/>
        </w:rPr>
      </w:pPr>
      <w:r>
        <w:rPr>
          <w:rFonts w:hint="eastAsia"/>
          <w:b/>
          <w:color w:val="7030A0"/>
          <w:sz w:val="32"/>
          <w:szCs w:val="32"/>
          <w:lang w:val="en-US" w:eastAsia="zh-CN"/>
        </w:rPr>
        <w:t>开营日期：</w:t>
      </w:r>
      <w:r>
        <w:rPr>
          <w:rFonts w:hint="eastAsia" w:ascii="仿宋" w:hAnsi="仿宋" w:eastAsia="仿宋" w:cs="仿宋"/>
          <w:sz w:val="32"/>
          <w:szCs w:val="32"/>
          <w:lang w:val="en-US" w:eastAsia="zh-CN"/>
        </w:rPr>
        <w:t>2019年7月13日—7月28日（16天，北京出发）</w:t>
      </w:r>
    </w:p>
    <w:p>
      <w:pPr>
        <w:numPr>
          <w:ilvl w:val="0"/>
          <w:numId w:val="0"/>
        </w:numPr>
        <w:jc w:val="both"/>
        <w:rPr>
          <w:rFonts w:hint="eastAsia"/>
          <w:b/>
          <w:color w:val="7030A0"/>
          <w:sz w:val="32"/>
          <w:szCs w:val="32"/>
          <w:lang w:val="en-US" w:eastAsia="zh-CN"/>
        </w:rPr>
      </w:pPr>
    </w:p>
    <w:p>
      <w:pPr>
        <w:numPr>
          <w:ilvl w:val="0"/>
          <w:numId w:val="0"/>
        </w:numPr>
        <w:jc w:val="both"/>
        <w:rPr>
          <w:rFonts w:hint="eastAsia" w:ascii="仿宋" w:hAnsi="仿宋" w:eastAsia="仿宋" w:cs="仿宋"/>
          <w:sz w:val="32"/>
          <w:szCs w:val="32"/>
          <w:lang w:val="en-US" w:eastAsia="zh-CN"/>
        </w:rPr>
      </w:pPr>
      <w:r>
        <w:rPr>
          <w:rFonts w:hint="eastAsia"/>
          <w:b/>
          <w:color w:val="7030A0"/>
          <w:sz w:val="32"/>
          <w:szCs w:val="32"/>
          <w:lang w:val="en-US" w:eastAsia="zh-CN"/>
        </w:rPr>
        <w:t>招生对象：</w:t>
      </w:r>
      <w:r>
        <w:rPr>
          <w:rFonts w:hint="eastAsia" w:ascii="仿宋" w:hAnsi="仿宋" w:eastAsia="仿宋" w:cs="仿宋"/>
          <w:sz w:val="32"/>
          <w:szCs w:val="32"/>
          <w:lang w:val="en-US" w:eastAsia="zh-CN"/>
        </w:rPr>
        <w:t>合作院校18周岁以上在校学生</w:t>
      </w:r>
    </w:p>
    <w:p>
      <w:pPr>
        <w:numPr>
          <w:ilvl w:val="0"/>
          <w:numId w:val="0"/>
        </w:numPr>
        <w:jc w:val="both"/>
        <w:rPr>
          <w:rFonts w:hint="eastAsia"/>
          <w:b/>
          <w:color w:val="7030A0"/>
          <w:sz w:val="32"/>
          <w:szCs w:val="32"/>
          <w:lang w:val="en-US" w:eastAsia="zh-CN"/>
        </w:rPr>
      </w:pPr>
    </w:p>
    <w:p>
      <w:pPr>
        <w:numPr>
          <w:ilvl w:val="0"/>
          <w:numId w:val="0"/>
        </w:numPr>
        <w:jc w:val="both"/>
        <w:rPr>
          <w:rFonts w:hint="eastAsia" w:ascii="仿宋" w:hAnsi="仿宋" w:eastAsia="仿宋" w:cs="仿宋"/>
          <w:sz w:val="32"/>
          <w:szCs w:val="32"/>
          <w:lang w:val="en-US" w:eastAsia="zh-CN"/>
        </w:rPr>
      </w:pPr>
      <w:r>
        <w:rPr>
          <w:rFonts w:hint="eastAsia"/>
          <w:b/>
          <w:color w:val="7030A0"/>
          <w:sz w:val="32"/>
          <w:szCs w:val="32"/>
          <w:lang w:val="en-US" w:eastAsia="zh-CN"/>
        </w:rPr>
        <w:t>报名截止日期：</w:t>
      </w:r>
      <w:r>
        <w:rPr>
          <w:rFonts w:hint="eastAsia" w:ascii="仿宋" w:hAnsi="仿宋" w:eastAsia="仿宋" w:cs="仿宋"/>
          <w:sz w:val="32"/>
          <w:szCs w:val="32"/>
          <w:lang w:val="en-US" w:eastAsia="zh-CN"/>
        </w:rPr>
        <w:t>2019年4月15日（提前报满，提前截止）。</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说明：因美国使馆预约签紧张，请尽早办理手续，报名时请携带护照。</w:t>
      </w:r>
    </w:p>
    <w:p>
      <w:pPr>
        <w:numPr>
          <w:ilvl w:val="0"/>
          <w:numId w:val="0"/>
        </w:numPr>
        <w:jc w:val="both"/>
        <w:rPr>
          <w:rFonts w:hint="eastAsia"/>
          <w:b/>
          <w:color w:val="7030A0"/>
          <w:sz w:val="32"/>
          <w:szCs w:val="32"/>
          <w:lang w:val="en-US" w:eastAsia="zh-CN"/>
        </w:rPr>
      </w:pPr>
    </w:p>
    <w:p>
      <w:pPr>
        <w:numPr>
          <w:ilvl w:val="0"/>
          <w:numId w:val="0"/>
        </w:numPr>
        <w:jc w:val="both"/>
        <w:rPr>
          <w:rFonts w:hint="default" w:ascii="仿宋" w:hAnsi="仿宋" w:eastAsia="仿宋" w:cs="仿宋"/>
          <w:sz w:val="32"/>
          <w:szCs w:val="32"/>
          <w:lang w:val="en-US" w:eastAsia="zh-CN"/>
        </w:rPr>
      </w:pPr>
      <w:r>
        <w:rPr>
          <w:rFonts w:hint="eastAsia"/>
          <w:b/>
          <w:color w:val="7030A0"/>
          <w:sz w:val="32"/>
          <w:szCs w:val="32"/>
          <w:lang w:val="en-US" w:eastAsia="zh-CN"/>
        </w:rPr>
        <w:t>报名方式：</w:t>
      </w:r>
      <w:r>
        <w:rPr>
          <w:rFonts w:hint="eastAsia" w:ascii="仿宋" w:hAnsi="仿宋" w:eastAsia="仿宋" w:cs="仿宋"/>
          <w:sz w:val="32"/>
          <w:szCs w:val="32"/>
          <w:lang w:val="en-US" w:eastAsia="zh-CN"/>
        </w:rPr>
        <w:t>请关注官网，或联系王老师，手机：15910520221（微信同号）</w:t>
      </w:r>
    </w:p>
    <w:p>
      <w:pPr>
        <w:numPr>
          <w:ilvl w:val="0"/>
          <w:numId w:val="0"/>
        </w:numPr>
        <w:jc w:val="both"/>
        <w:rPr>
          <w:rFonts w:hint="eastAsia" w:ascii="仿宋" w:hAnsi="仿宋" w:eastAsia="仿宋" w:cs="仿宋"/>
          <w:sz w:val="32"/>
          <w:szCs w:val="32"/>
          <w:lang w:val="en-US" w:eastAsia="zh-CN"/>
        </w:rPr>
      </w:pPr>
    </w:p>
    <w:p>
      <w:pPr>
        <w:rPr>
          <w:rFonts w:hint="eastAsia" w:ascii="微软雅黑" w:hAnsi="微软雅黑" w:eastAsia="微软雅黑" w:cs="微软雅黑"/>
          <w:b/>
          <w:bCs w:val="0"/>
          <w:color w:val="7030A0"/>
          <w:sz w:val="36"/>
          <w:szCs w:val="36"/>
          <w:lang w:eastAsia="zh-CN"/>
        </w:rPr>
      </w:pPr>
      <w:bookmarkStart w:id="0" w:name="_GoBack"/>
      <w:bookmarkEnd w:id="0"/>
    </w:p>
    <w:p>
      <w:pPr>
        <w:rPr>
          <w:rFonts w:hint="eastAsia" w:ascii="微软雅黑" w:hAnsi="微软雅黑" w:eastAsia="微软雅黑" w:cs="微软雅黑"/>
          <w:b/>
          <w:bCs w:val="0"/>
          <w:color w:val="7030A0"/>
          <w:sz w:val="36"/>
          <w:szCs w:val="36"/>
          <w:lang w:eastAsia="zh-CN"/>
        </w:rPr>
      </w:pPr>
    </w:p>
    <w:p>
      <w:pPr>
        <w:rPr>
          <w:rFonts w:hint="eastAsia" w:ascii="微软雅黑" w:hAnsi="微软雅黑" w:eastAsia="微软雅黑" w:cs="微软雅黑"/>
          <w:b/>
          <w:bCs w:val="0"/>
          <w:color w:val="7030A0"/>
          <w:sz w:val="36"/>
          <w:szCs w:val="36"/>
          <w:lang w:eastAsia="zh-CN"/>
        </w:rPr>
      </w:pPr>
    </w:p>
    <w:p>
      <w:pPr>
        <w:rPr>
          <w:rFonts w:hint="eastAsia" w:ascii="微软雅黑" w:hAnsi="微软雅黑" w:eastAsia="微软雅黑" w:cs="微软雅黑"/>
          <w:b/>
          <w:bCs w:val="0"/>
          <w:color w:val="7030A0"/>
          <w:sz w:val="36"/>
          <w:szCs w:val="36"/>
          <w:lang w:eastAsia="zh-CN"/>
        </w:rPr>
      </w:pPr>
    </w:p>
    <w:p>
      <w:pPr>
        <w:rPr>
          <w:rFonts w:hint="eastAsia" w:ascii="微软雅黑" w:hAnsi="微软雅黑" w:eastAsia="微软雅黑" w:cs="微软雅黑"/>
          <w:b/>
          <w:bCs w:val="0"/>
          <w:color w:val="7030A0"/>
          <w:sz w:val="36"/>
          <w:szCs w:val="36"/>
          <w:lang w:eastAsia="zh-CN"/>
        </w:rPr>
      </w:pPr>
    </w:p>
    <w:p>
      <w:pPr>
        <w:rPr>
          <w:rFonts w:hint="eastAsia" w:ascii="微软雅黑" w:hAnsi="微软雅黑" w:eastAsia="微软雅黑" w:cs="微软雅黑"/>
          <w:b/>
          <w:bCs w:val="0"/>
          <w:color w:val="7030A0"/>
          <w:sz w:val="36"/>
          <w:szCs w:val="36"/>
          <w:lang w:eastAsia="zh-CN"/>
        </w:rPr>
      </w:pPr>
    </w:p>
    <w:p>
      <w:pPr>
        <w:rPr>
          <w:rFonts w:hint="eastAsia" w:eastAsiaTheme="minorEastAsia"/>
          <w:b/>
          <w:sz w:val="36"/>
          <w:szCs w:val="36"/>
          <w:lang w:eastAsia="zh-CN"/>
        </w:rPr>
      </w:pPr>
    </w:p>
    <w:sectPr>
      <w:pgSz w:w="11906" w:h="16838"/>
      <w:pgMar w:top="1440" w:right="1800" w:bottom="1440" w:left="1800" w:header="851" w:footer="992" w:gutter="0"/>
      <w:pgBorders w:offsetFrom="page">
        <w:top w:val="single" w:color="7030A0" w:sz="24" w:space="24"/>
        <w:left w:val="single" w:color="7030A0" w:sz="24" w:space="24"/>
        <w:bottom w:val="single" w:color="7030A0" w:sz="24" w:space="24"/>
        <w:right w:val="single" w:color="7030A0" w:sz="24" w:space="2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67"/>
    <w:rsid w:val="00012895"/>
    <w:rsid w:val="0003030B"/>
    <w:rsid w:val="000E1B63"/>
    <w:rsid w:val="00117A1D"/>
    <w:rsid w:val="001B17D1"/>
    <w:rsid w:val="00305348"/>
    <w:rsid w:val="003D2BC5"/>
    <w:rsid w:val="003F737E"/>
    <w:rsid w:val="0040106F"/>
    <w:rsid w:val="00460CCE"/>
    <w:rsid w:val="004C6836"/>
    <w:rsid w:val="004D6751"/>
    <w:rsid w:val="00587422"/>
    <w:rsid w:val="006530C5"/>
    <w:rsid w:val="00676C34"/>
    <w:rsid w:val="00733B50"/>
    <w:rsid w:val="00753C48"/>
    <w:rsid w:val="007B7681"/>
    <w:rsid w:val="0091566B"/>
    <w:rsid w:val="00935C67"/>
    <w:rsid w:val="00A01FDE"/>
    <w:rsid w:val="00A7565D"/>
    <w:rsid w:val="00C02780"/>
    <w:rsid w:val="00C300D1"/>
    <w:rsid w:val="00CA68B7"/>
    <w:rsid w:val="00D879AE"/>
    <w:rsid w:val="00DC39A9"/>
    <w:rsid w:val="00F16481"/>
    <w:rsid w:val="00F334DA"/>
    <w:rsid w:val="00F543E1"/>
    <w:rsid w:val="00F72EE8"/>
    <w:rsid w:val="00FC3A9B"/>
    <w:rsid w:val="00FF1F59"/>
    <w:rsid w:val="01414873"/>
    <w:rsid w:val="029559B7"/>
    <w:rsid w:val="04F75B20"/>
    <w:rsid w:val="06CB178A"/>
    <w:rsid w:val="081F6CF1"/>
    <w:rsid w:val="0C2A0412"/>
    <w:rsid w:val="0D3D1A4C"/>
    <w:rsid w:val="0E8C0CD9"/>
    <w:rsid w:val="10957188"/>
    <w:rsid w:val="12670C21"/>
    <w:rsid w:val="12E549D3"/>
    <w:rsid w:val="137B00A2"/>
    <w:rsid w:val="13AA7174"/>
    <w:rsid w:val="1630311D"/>
    <w:rsid w:val="177E520E"/>
    <w:rsid w:val="1BF47D8F"/>
    <w:rsid w:val="1CB736DF"/>
    <w:rsid w:val="1DCE3509"/>
    <w:rsid w:val="1EF3303A"/>
    <w:rsid w:val="1F7773EC"/>
    <w:rsid w:val="20C13366"/>
    <w:rsid w:val="20FF622E"/>
    <w:rsid w:val="21CD18F2"/>
    <w:rsid w:val="220F4166"/>
    <w:rsid w:val="25393791"/>
    <w:rsid w:val="267A42DC"/>
    <w:rsid w:val="26DE109F"/>
    <w:rsid w:val="272B0A9A"/>
    <w:rsid w:val="2A4C2628"/>
    <w:rsid w:val="2CA63A29"/>
    <w:rsid w:val="2E815F8E"/>
    <w:rsid w:val="2F1152FB"/>
    <w:rsid w:val="31496771"/>
    <w:rsid w:val="318C4759"/>
    <w:rsid w:val="361C3458"/>
    <w:rsid w:val="3BB7201C"/>
    <w:rsid w:val="3CC03982"/>
    <w:rsid w:val="40C553CE"/>
    <w:rsid w:val="41A7783A"/>
    <w:rsid w:val="42607E1D"/>
    <w:rsid w:val="44571450"/>
    <w:rsid w:val="461A63CA"/>
    <w:rsid w:val="465847C5"/>
    <w:rsid w:val="46FA1550"/>
    <w:rsid w:val="47D50F79"/>
    <w:rsid w:val="4A064676"/>
    <w:rsid w:val="4AF51076"/>
    <w:rsid w:val="4C653824"/>
    <w:rsid w:val="4CCA1658"/>
    <w:rsid w:val="4FAE0C47"/>
    <w:rsid w:val="54617FE6"/>
    <w:rsid w:val="55C31A25"/>
    <w:rsid w:val="5AF10DDF"/>
    <w:rsid w:val="5B824BD8"/>
    <w:rsid w:val="5E5F7761"/>
    <w:rsid w:val="5EDC4EFE"/>
    <w:rsid w:val="64506AD0"/>
    <w:rsid w:val="64D81C9C"/>
    <w:rsid w:val="66413818"/>
    <w:rsid w:val="66434F68"/>
    <w:rsid w:val="671F5996"/>
    <w:rsid w:val="67273798"/>
    <w:rsid w:val="674326B3"/>
    <w:rsid w:val="68042185"/>
    <w:rsid w:val="6827744C"/>
    <w:rsid w:val="683B012D"/>
    <w:rsid w:val="6867669B"/>
    <w:rsid w:val="68965472"/>
    <w:rsid w:val="690503EC"/>
    <w:rsid w:val="6ABD2F4E"/>
    <w:rsid w:val="6E3648BD"/>
    <w:rsid w:val="6EAD6B8A"/>
    <w:rsid w:val="6F4622FA"/>
    <w:rsid w:val="72BE54AF"/>
    <w:rsid w:val="72F137A6"/>
    <w:rsid w:val="73E4672A"/>
    <w:rsid w:val="73E56CD0"/>
    <w:rsid w:val="74371817"/>
    <w:rsid w:val="75AB3F58"/>
    <w:rsid w:val="76720EFA"/>
    <w:rsid w:val="76B02832"/>
    <w:rsid w:val="7A8A23DB"/>
    <w:rsid w:val="7C897B8C"/>
    <w:rsid w:val="7C9619D6"/>
    <w:rsid w:val="7F1E1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
    <w:name w:val="Medium Grid 3 Accent 4"/>
    <w:basedOn w:val="5"/>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character" w:customStyle="1" w:styleId="9">
    <w:name w:val="批注框文本 Char"/>
    <w:basedOn w:val="8"/>
    <w:link w:val="2"/>
    <w:semiHidden/>
    <w:qFormat/>
    <w:uiPriority w:val="99"/>
    <w:rPr>
      <w:sz w:val="18"/>
      <w:szCs w:val="18"/>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3.jpeg"/><Relationship Id="rId4" Type="http://schemas.openxmlformats.org/officeDocument/2006/relationships/image" Target="media/image2.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暗香扑面">
      <a:fillStyleLst>
        <a:solidFill>
          <a:schemeClr val="phClr"/>
        </a:solidFill>
        <a:gradFill rotWithShape="1">
          <a:gsLst>
            <a:gs pos="0">
              <a:schemeClr val="phClr">
                <a:tint val="98000"/>
                <a:satMod val="220000"/>
              </a:schemeClr>
            </a:gs>
            <a:gs pos="31000">
              <a:schemeClr val="phClr">
                <a:tint val="30000"/>
                <a:satMod val="150000"/>
              </a:schemeClr>
            </a:gs>
            <a:gs pos="91000">
              <a:schemeClr val="phClr">
                <a:tint val="96000"/>
              </a:schemeClr>
            </a:gs>
          </a:gsLst>
          <a:path path="circle">
            <a:fillToRect l="50000" t="150000" r="50000"/>
          </a:path>
        </a:gradFill>
        <a:blipFill>
          <a:blip xmlns:r="http://schemas.openxmlformats.org/officeDocument/2006/relationships" r:embed="rId1">
            <a:duotone>
              <a:schemeClr val="phClr">
                <a:shade val="28000"/>
                <a:satMod val="100000"/>
              </a:schemeClr>
              <a:schemeClr val="phClr">
                <a:tint val="100000"/>
                <a:satMod val="200000"/>
              </a:schemeClr>
            </a:duotone>
          </a:blip>
          <a:tile tx="0" ty="0" sx="80000" sy="80000" flip="none" algn="tl"/>
        </a:blip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glow rad="63500">
              <a:schemeClr val="phClr">
                <a:alpha val="45000"/>
                <a:satMod val="110000"/>
              </a:schemeClr>
            </a:glow>
          </a:effectLst>
        </a:effectStyle>
        <a:effectStyle>
          <a:effectLst>
            <a:outerShdw blurRad="34925" dist="31750" dir="5400000" algn="tl" rotWithShape="0">
              <a:srgbClr val="000000">
                <a:alpha val="50000"/>
              </a:srgbClr>
            </a:outerShdw>
          </a:effectLst>
          <a:scene3d>
            <a:camera prst="orthographicFront">
              <a:rot lat="0" lon="0" rev="0"/>
            </a:camera>
            <a:lightRig rig="flood" dir="t">
              <a:rot lat="0" lon="0" rev="5400000"/>
            </a:lightRig>
          </a:scene3d>
          <a:sp3d contourW="9525" prstMaterial="dkEdge">
            <a:bevelT w="12000" h="24150"/>
            <a:contourClr>
              <a:schemeClr val="phClr">
                <a:satMod val="110000"/>
              </a:schemeClr>
            </a:contourClr>
          </a:sp3d>
        </a:effectStyle>
        <a:effectStyle>
          <a:effectLst>
            <a:outerShdw blurRad="50800" dist="31750" dir="5400000" algn="tl" rotWithShape="0">
              <a:srgbClr val="000000">
                <a:alpha val="50000"/>
              </a:srgbClr>
            </a:outerShdw>
          </a:effectLst>
          <a:scene3d>
            <a:camera prst="orthographicFront">
              <a:rot lat="0" lon="0" rev="0"/>
            </a:camera>
            <a:lightRig rig="flood" dir="t">
              <a:rot lat="0" lon="0" rev="5400000"/>
            </a:lightRig>
          </a:scene3d>
          <a:sp3d contourW="18700" prstMaterial="dkEdge">
            <a:bevelT w="44450" h="80600"/>
            <a:contourClr>
              <a:schemeClr val="phClr">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A4217D-D769-496F-9644-E9D467F95F85}">
  <ds:schemaRefs/>
</ds:datastoreItem>
</file>

<file path=docProps/app.xml><?xml version="1.0" encoding="utf-8"?>
<Properties xmlns="http://schemas.openxmlformats.org/officeDocument/2006/extended-properties" xmlns:vt="http://schemas.openxmlformats.org/officeDocument/2006/docPropsVTypes">
  <Template>Normal</Template>
  <Pages>4</Pages>
  <Words>219</Words>
  <Characters>1250</Characters>
  <Lines>10</Lines>
  <Paragraphs>2</Paragraphs>
  <TotalTime>15</TotalTime>
  <ScaleCrop>false</ScaleCrop>
  <LinksUpToDate>false</LinksUpToDate>
  <CharactersWithSpaces>1467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2018-10-15T06:29:00Z</dcterms:created>
  <dc:creator>admin</dc:creator>
  <cp:lastModifiedBy>生活在别处</cp:lastModifiedBy>
  <dcterms:modified xsi:type="dcterms:W3CDTF">2019-03-15T01:30:46Z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